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of Financial Distress Events</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Lots 1A, 1B, 1C, 1D, 2A, 2B, 3A, 3B, 3C, 3D, 3E, 3F, 4A, and 4B </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[Operating Margin]</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highlight w:val="yellow"/>
              </w:rPr>
            </w:pPr>
            <w:r w:rsidDel="00000000" w:rsidR="00000000" w:rsidRPr="00000000">
              <w:rPr>
                <w:rFonts w:ascii="Arial" w:cs="Arial" w:eastAsia="Arial" w:hAnsi="Arial"/>
                <w:i w:val="1"/>
                <w:sz w:val="24"/>
                <w:szCs w:val="24"/>
                <w:highlight w:val="yellow"/>
                <w:rtl w:val="0"/>
              </w:rPr>
              <w:t xml:space="preserve">&lt;3.5</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highlight w:val="yellow"/>
              </w:rPr>
            </w:pPr>
            <w:r w:rsidDel="00000000" w:rsidR="00000000" w:rsidRPr="00000000">
              <w:rPr>
                <w:rFonts w:ascii="Arial" w:cs="Arial" w:eastAsia="Arial" w:hAnsi="Arial"/>
                <w:b w:val="1"/>
                <w:color w:val="7030a0"/>
                <w:sz w:val="24"/>
                <w:szCs w:val="24"/>
                <w:highlight w:val="yellow"/>
                <w:rtl w:val="0"/>
              </w:rPr>
              <w:t xml:space="preserve">[Free Cash Flow to Net Debt Ratio]</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7030a0"/>
                <w:sz w:val="24"/>
                <w:szCs w:val="24"/>
                <w:rtl w:val="0"/>
              </w:rPr>
              <w:t xml:space="preserve">OR</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[Free Cash Flow to Net Debt Ratio = Free Cash Flow / Net Debt]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color w:val="7030a0"/>
                <w:sz w:val="24"/>
                <w:szCs w:val="24"/>
                <w:rtl w:val="0"/>
              </w:rPr>
              <w:t xml:space="preserve">OR</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&lt;5</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OR</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&gt;3.5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&gt;5.0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&lt;3.0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color w:val="000000"/>
                <w:sz w:val="24"/>
                <w:szCs w:val="24"/>
                <w:highlight w:val="yellow"/>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&lt;0.8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tl w:val="0"/>
              </w:rPr>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1134"/>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5 and Lot 3G</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98">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shd w:fill="d9d9d9" w:val="clear"/>
            <w:vAlign w:val="center"/>
          </w:tcPr>
          <w:p w:rsidR="00000000" w:rsidDel="00000000" w:rsidP="00000000" w:rsidRDefault="00000000" w:rsidRPr="00000000" w14:paraId="00000099">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9A">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shd w:fill="d9d9d9" w:val="clear"/>
            <w:vAlign w:val="center"/>
          </w:tcPr>
          <w:p w:rsidR="00000000" w:rsidDel="00000000" w:rsidP="00000000" w:rsidRDefault="00000000" w:rsidRPr="00000000" w14:paraId="0000009B">
            <w:pPr>
              <w:spacing w:after="200" w:before="100" w:lineRule="auto"/>
              <w:jc w:val="center"/>
              <w:rPr>
                <w:rFonts w:ascii="Arial" w:cs="Arial" w:eastAsia="Arial" w:hAnsi="Arial"/>
                <w:b w:val="1"/>
                <w:sz w:val="24"/>
                <w:szCs w:val="24"/>
              </w:rPr>
            </w:pPr>
            <w:bookmarkStart w:colFirst="0" w:colLast="0" w:name="_heading=h.1ci93xb" w:id="1"/>
            <w:bookmarkEnd w:id="1"/>
            <w:r w:rsidDel="00000000" w:rsidR="00000000" w:rsidRPr="00000000">
              <w:rPr>
                <w:rFonts w:ascii="Arial" w:cs="Arial" w:eastAsia="Arial" w:hAnsi="Arial"/>
                <w:b w:val="1"/>
                <w:sz w:val="24"/>
                <w:szCs w:val="24"/>
                <w:rtl w:val="0"/>
              </w:rPr>
              <w:t xml:space="preserve">Monitoring and Reporting Frequency </w:t>
            </w:r>
            <w:r w:rsidDel="00000000" w:rsidR="00000000" w:rsidRPr="00000000">
              <w:rPr>
                <w:rFonts w:ascii="Arial" w:cs="Arial" w:eastAsia="Arial" w:hAnsi="Arial"/>
                <w:b w:val="1"/>
                <w:sz w:val="24"/>
                <w:szCs w:val="24"/>
                <w:highlight w:val="yellow"/>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C">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9D">
            <w:pPr>
              <w:spacing w:after="200" w:before="100" w:lineRule="auto"/>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[Operating Margin]</w:t>
            </w:r>
          </w:p>
          <w:p w:rsidR="00000000" w:rsidDel="00000000" w:rsidP="00000000" w:rsidRDefault="00000000" w:rsidRPr="00000000" w14:paraId="0000009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09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A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A1">
            <w:pPr>
              <w:spacing w:after="200" w:before="10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&lt;4%</w:t>
            </w:r>
          </w:p>
        </w:tc>
        <w:tc>
          <w:tcPr>
            <w:vAlign w:val="center"/>
          </w:tcPr>
          <w:p w:rsidR="00000000" w:rsidDel="00000000" w:rsidP="00000000" w:rsidRDefault="00000000" w:rsidRPr="00000000" w14:paraId="000000A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A4">
            <w:pPr>
              <w:spacing w:after="200" w:before="100" w:lineRule="auto"/>
              <w:jc w:val="left"/>
              <w:rPr>
                <w:rFonts w:ascii="Arial" w:cs="Arial" w:eastAsia="Arial" w:hAnsi="Arial"/>
                <w:b w:val="1"/>
                <w:color w:val="7030a0"/>
                <w:sz w:val="24"/>
                <w:szCs w:val="24"/>
                <w:highlight w:val="yellow"/>
              </w:rPr>
            </w:pPr>
            <w:r w:rsidDel="00000000" w:rsidR="00000000" w:rsidRPr="00000000">
              <w:rPr>
                <w:rFonts w:ascii="Arial" w:cs="Arial" w:eastAsia="Arial" w:hAnsi="Arial"/>
                <w:b w:val="1"/>
                <w:color w:val="7030a0"/>
                <w:sz w:val="24"/>
                <w:szCs w:val="24"/>
                <w:highlight w:val="yellow"/>
                <w:rtl w:val="0"/>
              </w:rPr>
              <w:t xml:space="preserve">[Free Cash Flow to Net Debt Ratio]</w:t>
            </w:r>
          </w:p>
          <w:p w:rsidR="00000000" w:rsidDel="00000000" w:rsidP="00000000" w:rsidRDefault="00000000" w:rsidRPr="00000000" w14:paraId="000000A5">
            <w:pP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7030a0"/>
                <w:sz w:val="24"/>
                <w:szCs w:val="24"/>
                <w:rtl w:val="0"/>
              </w:rPr>
              <w:t xml:space="preserve">OR</w:t>
            </w:r>
          </w:p>
          <w:p w:rsidR="00000000" w:rsidDel="00000000" w:rsidP="00000000" w:rsidRDefault="00000000" w:rsidRPr="00000000" w14:paraId="000000A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A7">
            <w:pP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[Free Cash Flow to Net Debt Ratio = Free Cash Flow / Net Debt]</w:t>
            </w:r>
          </w:p>
          <w:p w:rsidR="00000000" w:rsidDel="00000000" w:rsidP="00000000" w:rsidRDefault="00000000" w:rsidRPr="00000000" w14:paraId="000000A8">
            <w:pP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color w:val="7030a0"/>
                <w:sz w:val="24"/>
                <w:szCs w:val="24"/>
                <w:rtl w:val="0"/>
              </w:rPr>
              <w:t xml:space="preserve">OR</w:t>
            </w:r>
          </w:p>
          <w:p w:rsidR="00000000" w:rsidDel="00000000" w:rsidP="00000000" w:rsidRDefault="00000000" w:rsidRPr="00000000" w14:paraId="000000A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AA">
            <w:pP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&lt;5%</w:t>
            </w:r>
          </w:p>
          <w:p w:rsidR="00000000" w:rsidDel="00000000" w:rsidP="00000000" w:rsidRDefault="00000000" w:rsidRPr="00000000" w14:paraId="000000A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OR</w:t>
            </w:r>
          </w:p>
          <w:p w:rsidR="00000000" w:rsidDel="00000000" w:rsidP="00000000" w:rsidRDefault="00000000" w:rsidRPr="00000000" w14:paraId="000000A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&gt;3.5</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A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sz w:val="24"/>
                <w:szCs w:val="24"/>
                <w:highlight w:val="yellow"/>
                <w:rtl w:val="0"/>
              </w:rPr>
              <w:t xml:space="preserve"> EBITDA]</w:t>
            </w:r>
            <w:r w:rsidDel="00000000" w:rsidR="00000000" w:rsidRPr="00000000">
              <w:rPr>
                <w:rFonts w:ascii="Arial" w:cs="Arial" w:eastAsia="Arial" w:hAnsi="Arial"/>
                <w:i w:val="1"/>
                <w:sz w:val="24"/>
                <w:szCs w:val="24"/>
                <w:rtl w:val="0"/>
              </w:rPr>
              <w:t xml:space="preserve"> for the 12 months ending on, and Net Debt at,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A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B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B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B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B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B4">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B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B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&lt;3.0</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B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sz w:val="24"/>
                <w:szCs w:val="24"/>
                <w:highlight w:val="yellow"/>
                <w:rtl w:val="0"/>
              </w:rPr>
              <w:t xml:space="preserve">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B9">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B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B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&lt;1.0 </w:t>
            </w:r>
            <w:r w:rsidDel="00000000" w:rsidR="00000000" w:rsidRPr="00000000">
              <w:rPr>
                <w:rFonts w:ascii="Arial" w:cs="Arial" w:eastAsia="Arial" w:hAnsi="Arial"/>
                <w:i w:val="1"/>
                <w:sz w:val="24"/>
                <w:szCs w:val="24"/>
                <w:rtl w:val="0"/>
              </w:rPr>
              <w:t xml:space="preserve">times</w:t>
            </w:r>
          </w:p>
        </w:tc>
        <w:tc>
          <w:tcPr>
            <w:vAlign w:val="center"/>
          </w:tcPr>
          <w:p w:rsidR="00000000" w:rsidDel="00000000" w:rsidP="00000000" w:rsidRDefault="00000000" w:rsidRPr="00000000" w14:paraId="000000B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D">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B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B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C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C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2">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C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C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C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tl w:val="0"/>
              </w:rPr>
            </w:r>
          </w:p>
        </w:tc>
        <w:tc>
          <w:tcPr>
            <w:vAlign w:val="center"/>
          </w:tcPr>
          <w:p w:rsidR="00000000" w:rsidDel="00000000" w:rsidP="00000000" w:rsidRDefault="00000000" w:rsidRPr="00000000" w14:paraId="000000C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C7">
      <w:pPr>
        <w:tabs>
          <w:tab w:val="left" w:leader="none" w:pos="142"/>
        </w:tabs>
        <w:spacing w:before="12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4"/>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D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D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33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E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0E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qsh70q" w:id="4"/>
      <w:bookmarkEnd w:id="4"/>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FF">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100">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67">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68">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73">
      <w:pPr>
        <w:spacing w:after="200" w:line="276" w:lineRule="auto"/>
        <w:jc w:val="left"/>
        <w:rPr>
          <w:rFonts w:ascii="Arial" w:cs="Arial" w:eastAsia="Arial" w:hAnsi="Arial"/>
          <w:sz w:val="24"/>
          <w:szCs w:val="24"/>
        </w:rPr>
      </w:pPr>
      <w:bookmarkStart w:colFirst="0" w:colLast="0" w:name="_heading=h.4i7ojhp" w:id="10"/>
      <w:bookmarkEnd w:id="10"/>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B">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pPr>
      <w:spacing w:after="0"/>
    </w:pPr>
    <w:rPr>
      <w:sz w:val="20"/>
      <w:szCs w:val="20"/>
    </w:rPr>
    <w:tblPr>
      <w:tblStyleRowBandSize w:val="1"/>
      <w:tblStyleColBandSize w:val="1"/>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R5l5JzPVP88yP290LVYsHPNfmA==">CgMxLjAyCWguM2R5NnZrbTIJaC4xY2k5M3hiMgloLjN3aHdtbDQyCWguMmJuNndzeDIIaC5xc2g3MHEyCWguM2FzNHBvajIJaC4xcHhlendjMgloLjQ5eDJpazUyCWguMnAyY3NyeTIJaC4xNDduMnpyMgloLjRpN29qaHA4AHIhMXFhRmlNd0JwR0FPd1ZXbGtzdjY0c2ktWjU2eERGX2Vo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2023-07-25T13:46:00Z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